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0B91" w14:textId="77777777" w:rsidR="00C23C9F" w:rsidRPr="003C46BE" w:rsidRDefault="00C23C9F" w:rsidP="00C23C9F">
      <w:pPr>
        <w:spacing w:after="0"/>
        <w:ind w:left="-5"/>
        <w:rPr>
          <w:rFonts w:ascii="Montserrat" w:hAnsi="Montserrat"/>
          <w:color w:val="00BDB6"/>
          <w:sz w:val="18"/>
          <w:szCs w:val="18"/>
        </w:rPr>
      </w:pPr>
      <w:r>
        <w:rPr>
          <w:rFonts w:ascii="Montserrat" w:eastAsia="Calibri" w:hAnsi="Montserrat" w:cs="Calibri"/>
          <w:b/>
          <w:color w:val="00BDB6"/>
          <w:sz w:val="18"/>
          <w:szCs w:val="18"/>
        </w:rPr>
        <w:t>SUGGERIMENTI</w:t>
      </w:r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 xml:space="preserve"> </w:t>
      </w:r>
      <w:r>
        <w:rPr>
          <w:rFonts w:ascii="Montserrat" w:eastAsia="Calibri" w:hAnsi="Montserrat" w:cs="Calibri"/>
          <w:b/>
          <w:color w:val="00BDB6"/>
          <w:sz w:val="18"/>
          <w:szCs w:val="18"/>
        </w:rPr>
        <w:t>PER</w:t>
      </w:r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 xml:space="preserve"> MANDATO </w:t>
      </w:r>
    </w:p>
    <w:p w14:paraId="669B8ABF" w14:textId="77777777" w:rsidR="00C23C9F" w:rsidRPr="003C46BE" w:rsidRDefault="00C23C9F" w:rsidP="00C23C9F">
      <w:pPr>
        <w:spacing w:after="62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 </w:t>
      </w:r>
    </w:p>
    <w:p w14:paraId="7826AFC1" w14:textId="77777777" w:rsidR="00C23C9F" w:rsidRPr="003C46BE" w:rsidRDefault="00C23C9F" w:rsidP="00C23C9F">
      <w:pPr>
        <w:spacing w:after="0" w:line="260" w:lineRule="auto"/>
        <w:ind w:left="-5" w:right="42"/>
        <w:rPr>
          <w:rFonts w:ascii="Montserrat" w:eastAsia="Calibri" w:hAnsi="Montserrat" w:cs="Calibri"/>
          <w:b/>
          <w:color w:val="00BDB6"/>
          <w:sz w:val="18"/>
          <w:szCs w:val="18"/>
        </w:rPr>
      </w:pPr>
      <w:r>
        <w:rPr>
          <w:rFonts w:ascii="Montserrat" w:eastAsia="Calibri" w:hAnsi="Montserrat" w:cs="Calibri"/>
          <w:b/>
          <w:color w:val="00BDB6"/>
          <w:sz w:val="18"/>
          <w:szCs w:val="18"/>
        </w:rPr>
        <w:t>Titolo: Suggerimenti per m</w:t>
      </w:r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 xml:space="preserve">andato per una Relazione indipendente sulle risultanze delle verifiche dei costi dichiarati nei Rendiconti di progetto </w:t>
      </w:r>
      <w:proofErr w:type="spellStart"/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>iNEST</w:t>
      </w:r>
      <w:proofErr w:type="spellEnd"/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 xml:space="preserve"> finanziato a valere sui fondi PNRR </w:t>
      </w:r>
    </w:p>
    <w:p w14:paraId="7F316E4E" w14:textId="77777777" w:rsidR="00C23C9F" w:rsidRPr="003C46BE" w:rsidRDefault="00C23C9F" w:rsidP="00C23C9F">
      <w:pPr>
        <w:spacing w:after="0" w:line="260" w:lineRule="auto"/>
        <w:ind w:left="-5" w:right="42"/>
        <w:rPr>
          <w:rFonts w:ascii="Montserrat" w:hAnsi="Montserrat"/>
          <w:color w:val="00BDB6"/>
          <w:sz w:val="18"/>
          <w:szCs w:val="18"/>
        </w:rPr>
      </w:pPr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 xml:space="preserve">assegnati a finanziamento al Programma </w:t>
      </w:r>
      <w:proofErr w:type="spellStart"/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>iNEST</w:t>
      </w:r>
      <w:proofErr w:type="spellEnd"/>
      <w:r w:rsidRPr="003C46BE">
        <w:rPr>
          <w:rFonts w:ascii="Montserrat" w:eastAsia="Calibri" w:hAnsi="Montserrat" w:cs="Calibri"/>
          <w:b/>
          <w:color w:val="00BDB6"/>
          <w:sz w:val="18"/>
          <w:szCs w:val="18"/>
        </w:rPr>
        <w:t xml:space="preserve"> Codice ECS00000043 finanziato sui fondi PNRR MUR – M4C2” – Investimento 1.5. Avviso “Ecosistemi dell’Innovazione”</w:t>
      </w:r>
    </w:p>
    <w:p w14:paraId="26619575" w14:textId="77777777" w:rsidR="00C23C9F" w:rsidRPr="003C46BE" w:rsidRDefault="00C23C9F" w:rsidP="00C23C9F">
      <w:pPr>
        <w:spacing w:after="0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 </w:t>
      </w:r>
    </w:p>
    <w:p w14:paraId="08AF6B5F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Il mandato deve consentire di identificare e realizzare le necessarie verifiche dei costi dichiarati nei Rendiconti di progetto </w:t>
      </w:r>
      <w:proofErr w:type="spellStart"/>
      <w:r>
        <w:rPr>
          <w:rFonts w:ascii="Montserrat" w:hAnsi="Montserrat"/>
          <w:sz w:val="18"/>
          <w:szCs w:val="18"/>
        </w:rPr>
        <w:t>iNEST</w:t>
      </w:r>
      <w:proofErr w:type="spellEnd"/>
      <w:r>
        <w:rPr>
          <w:rFonts w:ascii="Montserrat" w:hAnsi="Montserrat"/>
          <w:sz w:val="18"/>
          <w:szCs w:val="18"/>
        </w:rPr>
        <w:t xml:space="preserve"> e:</w:t>
      </w:r>
    </w:p>
    <w:p w14:paraId="4CB6C206" w14:textId="77777777" w:rsidR="00C23C9F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stabilisce le procedure concordate ("Procedure") che devono essere eseguite dal Revisore e le constatazioni fattuali standard (" Constatazione") che devono essere confermate dal Revisore.</w:t>
      </w:r>
    </w:p>
    <w:p w14:paraId="1A3E47F5" w14:textId="77777777" w:rsidR="00C23C9F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deve disciplinare i ruoli e le responsabilità dei partner</w:t>
      </w:r>
    </w:p>
    <w:p w14:paraId="625B4B6F" w14:textId="77777777" w:rsidR="00C23C9F" w:rsidRDefault="00C23C9F" w:rsidP="00C23C9F">
      <w:pPr>
        <w:ind w:right="42"/>
        <w:rPr>
          <w:rFonts w:ascii="Montserrat" w:hAnsi="Montserrat"/>
          <w:sz w:val="18"/>
          <w:szCs w:val="18"/>
        </w:rPr>
      </w:pPr>
    </w:p>
    <w:p w14:paraId="6369BB76" w14:textId="77777777" w:rsidR="00C23C9F" w:rsidRDefault="00C23C9F" w:rsidP="00C23C9F">
      <w:pPr>
        <w:ind w:right="42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Si fornisce una lista, a titolo indicativo e non esaustivo, di informazioni utili da inserire nel mandato ed attività che dovranno essere svolte nell’ambito dello stesso:</w:t>
      </w:r>
    </w:p>
    <w:p w14:paraId="6A498B69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22762A6A" w14:textId="77777777" w:rsidR="00C23C9F" w:rsidRPr="00292C6C" w:rsidRDefault="00C23C9F" w:rsidP="00C23C9F">
      <w:pPr>
        <w:pStyle w:val="Paragrafoelenco"/>
        <w:numPr>
          <w:ilvl w:val="0"/>
          <w:numId w:val="4"/>
        </w:numPr>
        <w:ind w:left="-5" w:right="42" w:hanging="279"/>
        <w:rPr>
          <w:rFonts w:ascii="Montserrat" w:hAnsi="Montserrat"/>
          <w:iCs/>
          <w:sz w:val="18"/>
          <w:szCs w:val="18"/>
        </w:rPr>
      </w:pPr>
      <w:r w:rsidRPr="00292C6C">
        <w:rPr>
          <w:rFonts w:ascii="Montserrat" w:hAnsi="Montserrat"/>
          <w:sz w:val="18"/>
          <w:szCs w:val="18"/>
        </w:rPr>
        <w:t>Le informazioni relative al Beneficiario ed il riferimento al finanziamento ricevuto (i.e.</w:t>
      </w:r>
      <w:r w:rsidRPr="00292C6C">
        <w:rPr>
          <w:rFonts w:ascii="Montserrat" w:hAnsi="Montserrat"/>
          <w:i/>
          <w:sz w:val="18"/>
          <w:szCs w:val="18"/>
        </w:rPr>
        <w:t xml:space="preserve"> </w:t>
      </w:r>
      <w:r w:rsidRPr="00292C6C">
        <w:rPr>
          <w:rFonts w:ascii="Montserrat" w:hAnsi="Montserrat"/>
          <w:sz w:val="18"/>
          <w:szCs w:val="18"/>
        </w:rPr>
        <w:t xml:space="preserve">finanziato a valere sul Programma </w:t>
      </w:r>
      <w:proofErr w:type="spellStart"/>
      <w:r w:rsidRPr="00292C6C">
        <w:rPr>
          <w:rFonts w:ascii="Montserrat" w:hAnsi="Montserrat"/>
          <w:sz w:val="18"/>
          <w:szCs w:val="18"/>
        </w:rPr>
        <w:t>iNEST</w:t>
      </w:r>
      <w:proofErr w:type="spellEnd"/>
      <w:r w:rsidRPr="00292C6C">
        <w:rPr>
          <w:rFonts w:ascii="Montserrat" w:hAnsi="Montserrat"/>
          <w:sz w:val="18"/>
          <w:szCs w:val="18"/>
        </w:rPr>
        <w:t xml:space="preserve"> (ECS00000043) nell'ambito del PNRR – Missione 4 – Componente 2 – Investimento 1.5 – CUP </w:t>
      </w:r>
      <w:r w:rsidRPr="00292C6C">
        <w:rPr>
          <w:rFonts w:ascii="Montserrat" w:hAnsi="Montserrat"/>
          <w:bCs/>
          <w:sz w:val="18"/>
          <w:szCs w:val="18"/>
        </w:rPr>
        <w:t>del Beneficiario</w:t>
      </w:r>
      <w:r w:rsidRPr="00292C6C">
        <w:rPr>
          <w:rFonts w:ascii="Montserrat" w:hAnsi="Montserrat"/>
          <w:sz w:val="18"/>
          <w:szCs w:val="18"/>
        </w:rPr>
        <w:t>)</w:t>
      </w:r>
    </w:p>
    <w:p w14:paraId="2A45F43C" w14:textId="77777777" w:rsidR="00C23C9F" w:rsidRPr="00292C6C" w:rsidRDefault="00C23C9F" w:rsidP="00C23C9F">
      <w:pPr>
        <w:pStyle w:val="Paragrafoelenco"/>
        <w:numPr>
          <w:ilvl w:val="0"/>
          <w:numId w:val="4"/>
        </w:numPr>
        <w:ind w:left="-5" w:right="42" w:hanging="279"/>
        <w:rPr>
          <w:rFonts w:ascii="Montserrat" w:hAnsi="Montserrat"/>
          <w:iCs/>
          <w:sz w:val="18"/>
          <w:szCs w:val="18"/>
        </w:rPr>
      </w:pPr>
      <w:r w:rsidRPr="00292C6C">
        <w:rPr>
          <w:rFonts w:ascii="Montserrat" w:hAnsi="Montserrat"/>
          <w:sz w:val="18"/>
          <w:szCs w:val="18"/>
        </w:rPr>
        <w:t xml:space="preserve">Le informazioni relative al Revisore (i.e. </w:t>
      </w:r>
      <w:r w:rsidRPr="00292C6C">
        <w:rPr>
          <w:rFonts w:ascii="Montserrat" w:hAnsi="Montserrat"/>
          <w:iCs/>
          <w:sz w:val="18"/>
          <w:szCs w:val="18"/>
          <w:shd w:val="clear" w:color="auto" w:fill="C0C0C0"/>
        </w:rPr>
        <w:t>nome/ragione sociale del revisore)</w:t>
      </w:r>
    </w:p>
    <w:p w14:paraId="58B75F76" w14:textId="77777777" w:rsidR="00C23C9F" w:rsidRPr="00292C6C" w:rsidRDefault="00C23C9F" w:rsidP="00C23C9F">
      <w:pPr>
        <w:pStyle w:val="Paragrafoelenco"/>
        <w:numPr>
          <w:ilvl w:val="0"/>
          <w:numId w:val="4"/>
        </w:numPr>
        <w:ind w:left="-5" w:right="42" w:hanging="279"/>
        <w:rPr>
          <w:rFonts w:ascii="Montserrat" w:hAnsi="Montserrat"/>
          <w:iCs/>
          <w:sz w:val="18"/>
          <w:szCs w:val="18"/>
        </w:rPr>
      </w:pPr>
      <w:r w:rsidRPr="00292C6C">
        <w:rPr>
          <w:rFonts w:ascii="Montserrat" w:hAnsi="Montserrat"/>
          <w:sz w:val="18"/>
          <w:szCs w:val="18"/>
        </w:rPr>
        <w:t>Le indicazioni relative al numero ed alle scadenze dei certificati sulle verifiche ed attestazioni (“</w:t>
      </w:r>
      <w:r w:rsidRPr="00292C6C">
        <w:rPr>
          <w:rFonts w:ascii="Montserrat" w:hAnsi="Montserrat"/>
          <w:i/>
          <w:sz w:val="18"/>
          <w:szCs w:val="18"/>
        </w:rPr>
        <w:t>Certificat</w:t>
      </w:r>
      <w:r>
        <w:rPr>
          <w:rFonts w:ascii="Montserrat" w:hAnsi="Montserrat"/>
          <w:i/>
          <w:sz w:val="18"/>
          <w:szCs w:val="18"/>
        </w:rPr>
        <w:t>o</w:t>
      </w:r>
      <w:r w:rsidRPr="00292C6C">
        <w:rPr>
          <w:rFonts w:ascii="Montserrat" w:hAnsi="Montserrat"/>
          <w:i/>
          <w:sz w:val="18"/>
          <w:szCs w:val="18"/>
        </w:rPr>
        <w:t>”)</w:t>
      </w:r>
      <w:r w:rsidRPr="00292C6C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rilasciati in</w:t>
      </w:r>
      <w:r w:rsidRPr="003C46BE">
        <w:rPr>
          <w:rFonts w:ascii="Montserrat" w:hAnsi="Montserrat"/>
          <w:sz w:val="18"/>
          <w:szCs w:val="18"/>
        </w:rPr>
        <w:t xml:space="preserve"> forma giurata e con esplicita dichiarazione di responsabilità</w:t>
      </w:r>
      <w:r>
        <w:rPr>
          <w:rFonts w:ascii="Montserrat" w:hAnsi="Montserrat"/>
          <w:sz w:val="18"/>
          <w:szCs w:val="18"/>
        </w:rPr>
        <w:t xml:space="preserve">, </w:t>
      </w:r>
      <w:r w:rsidRPr="00292C6C">
        <w:rPr>
          <w:rFonts w:ascii="Montserrat" w:hAnsi="Montserrat"/>
          <w:sz w:val="18"/>
          <w:szCs w:val="18"/>
        </w:rPr>
        <w:t>relativ</w:t>
      </w:r>
      <w:r>
        <w:rPr>
          <w:rFonts w:ascii="Montserrat" w:hAnsi="Montserrat"/>
          <w:sz w:val="18"/>
          <w:szCs w:val="18"/>
        </w:rPr>
        <w:t>i</w:t>
      </w:r>
      <w:r w:rsidRPr="00292C6C">
        <w:rPr>
          <w:rFonts w:ascii="Montserrat" w:hAnsi="Montserrat"/>
          <w:sz w:val="18"/>
          <w:szCs w:val="18"/>
        </w:rPr>
        <w:t xml:space="preserve"> ai Rendiconti di progetto, predisposti dal Beneficiario</w:t>
      </w:r>
    </w:p>
    <w:p w14:paraId="0DD61E84" w14:textId="77777777" w:rsidR="00C23C9F" w:rsidRPr="00292C6C" w:rsidRDefault="00C23C9F" w:rsidP="00C23C9F">
      <w:pPr>
        <w:pStyle w:val="Paragrafoelenco"/>
        <w:numPr>
          <w:ilvl w:val="0"/>
          <w:numId w:val="4"/>
        </w:numPr>
        <w:ind w:left="-5" w:right="42" w:hanging="279"/>
        <w:rPr>
          <w:rFonts w:ascii="Montserrat" w:hAnsi="Montserrat"/>
          <w:iCs/>
          <w:sz w:val="18"/>
          <w:szCs w:val="18"/>
        </w:rPr>
      </w:pPr>
      <w:r w:rsidRPr="00292C6C">
        <w:rPr>
          <w:rFonts w:ascii="Montserrat" w:hAnsi="Montserrat"/>
          <w:sz w:val="18"/>
          <w:szCs w:val="18"/>
        </w:rPr>
        <w:t xml:space="preserve">Il riferimento a quanto previsto dall’articolo 5.2 Monitoraggio e rendicontazione delle spese e risultati, modalità di erogazione del bando emesso dallo </w:t>
      </w:r>
      <w:proofErr w:type="spellStart"/>
      <w:r w:rsidRPr="00292C6C">
        <w:rPr>
          <w:rFonts w:ascii="Montserrat" w:hAnsi="Montserrat"/>
          <w:sz w:val="18"/>
          <w:szCs w:val="18"/>
        </w:rPr>
        <w:t>Spoke</w:t>
      </w:r>
      <w:proofErr w:type="spellEnd"/>
    </w:p>
    <w:p w14:paraId="6A5D6FF6" w14:textId="77777777" w:rsidR="00C23C9F" w:rsidRPr="00292C6C" w:rsidRDefault="00C23C9F" w:rsidP="00C23C9F">
      <w:pPr>
        <w:pStyle w:val="Paragrafoelenco"/>
        <w:numPr>
          <w:ilvl w:val="0"/>
          <w:numId w:val="4"/>
        </w:numPr>
        <w:ind w:left="-5" w:right="42" w:hanging="279"/>
        <w:rPr>
          <w:rFonts w:ascii="Montserrat" w:hAnsi="Montserrat"/>
          <w:iCs/>
          <w:sz w:val="18"/>
          <w:szCs w:val="18"/>
        </w:rPr>
      </w:pPr>
      <w:r w:rsidRPr="00292C6C">
        <w:rPr>
          <w:rFonts w:ascii="Montserrat" w:eastAsia="Calibri" w:hAnsi="Montserrat" w:cs="Calibri"/>
          <w:sz w:val="18"/>
          <w:szCs w:val="18"/>
        </w:rPr>
        <w:t>La descrizione dell’</w:t>
      </w:r>
      <w:r>
        <w:rPr>
          <w:rFonts w:ascii="Montserrat" w:eastAsia="Calibri" w:hAnsi="Montserrat" w:cs="Calibri"/>
          <w:sz w:val="18"/>
          <w:szCs w:val="18"/>
        </w:rPr>
        <w:t>o</w:t>
      </w:r>
      <w:r w:rsidRPr="00292C6C">
        <w:rPr>
          <w:rFonts w:ascii="Montserrat" w:eastAsia="Calibri" w:hAnsi="Montserrat" w:cs="Calibri"/>
          <w:sz w:val="18"/>
          <w:szCs w:val="18"/>
        </w:rPr>
        <w:t>ggetto de</w:t>
      </w:r>
      <w:r>
        <w:rPr>
          <w:rFonts w:ascii="Montserrat" w:eastAsia="Calibri" w:hAnsi="Montserrat" w:cs="Calibri"/>
          <w:sz w:val="18"/>
          <w:szCs w:val="18"/>
        </w:rPr>
        <w:t>ll’incarico</w:t>
      </w:r>
      <w:r w:rsidRPr="00292C6C">
        <w:rPr>
          <w:rFonts w:ascii="Montserrat" w:eastAsia="Calibri" w:hAnsi="Montserrat" w:cs="Calibri"/>
          <w:sz w:val="18"/>
          <w:szCs w:val="18"/>
        </w:rPr>
        <w:t xml:space="preserve"> </w:t>
      </w:r>
      <w:r>
        <w:rPr>
          <w:rFonts w:ascii="Montserrat" w:eastAsia="Calibri" w:hAnsi="Montserrat" w:cs="Calibri"/>
          <w:sz w:val="18"/>
          <w:szCs w:val="18"/>
        </w:rPr>
        <w:t xml:space="preserve">che sarà </w:t>
      </w:r>
      <w:r w:rsidRPr="00292C6C">
        <w:rPr>
          <w:rFonts w:ascii="Montserrat" w:eastAsia="Calibri" w:hAnsi="Montserrat" w:cs="Calibri"/>
          <w:sz w:val="18"/>
          <w:szCs w:val="18"/>
        </w:rPr>
        <w:t>co</w:t>
      </w:r>
      <w:r w:rsidRPr="00292C6C">
        <w:rPr>
          <w:rFonts w:ascii="Montserrat" w:hAnsi="Montserrat"/>
          <w:sz w:val="18"/>
          <w:szCs w:val="18"/>
        </w:rPr>
        <w:t xml:space="preserve">mposto da </w:t>
      </w:r>
      <w:r>
        <w:rPr>
          <w:rFonts w:ascii="Montserrat" w:hAnsi="Montserrat"/>
          <w:sz w:val="18"/>
          <w:szCs w:val="18"/>
        </w:rPr>
        <w:t>due</w:t>
      </w:r>
      <w:r w:rsidRPr="00292C6C">
        <w:rPr>
          <w:rFonts w:ascii="Montserrat" w:hAnsi="Montserrat"/>
          <w:sz w:val="18"/>
          <w:szCs w:val="18"/>
        </w:rPr>
        <w:t xml:space="preserve"> documenti distinti: </w:t>
      </w:r>
    </w:p>
    <w:p w14:paraId="1D9D318C" w14:textId="77777777" w:rsidR="00C23C9F" w:rsidRPr="003C46BE" w:rsidRDefault="00C23C9F" w:rsidP="00C23C9F">
      <w:pPr>
        <w:spacing w:after="12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 </w:t>
      </w:r>
    </w:p>
    <w:p w14:paraId="32828108" w14:textId="77777777" w:rsidR="00C23C9F" w:rsidRPr="003C46BE" w:rsidRDefault="00C23C9F" w:rsidP="00C23C9F">
      <w:pPr>
        <w:numPr>
          <w:ilvl w:val="0"/>
          <w:numId w:val="1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il Mandato in oggetto che deve essere sottoscritto dal Beneficiario</w:t>
      </w:r>
      <w:r w:rsidRPr="003C46BE">
        <w:rPr>
          <w:rFonts w:ascii="Montserrat" w:hAnsi="Montserrat"/>
          <w:i/>
          <w:sz w:val="18"/>
          <w:szCs w:val="18"/>
        </w:rPr>
        <w:t xml:space="preserve"> </w:t>
      </w:r>
      <w:r w:rsidRPr="003C46BE">
        <w:rPr>
          <w:rFonts w:ascii="Montserrat" w:hAnsi="Montserrat"/>
          <w:sz w:val="18"/>
          <w:szCs w:val="18"/>
        </w:rPr>
        <w:t xml:space="preserve">e dal Revisore; </w:t>
      </w:r>
    </w:p>
    <w:p w14:paraId="539CDA16" w14:textId="77777777" w:rsidR="00C23C9F" w:rsidRPr="003C46BE" w:rsidRDefault="00C23C9F" w:rsidP="00C23C9F">
      <w:pPr>
        <w:numPr>
          <w:ilvl w:val="0"/>
          <w:numId w:val="1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la Relazione indipendente di verifica ed attestazione del Revisore (di seguito anche “la Relazione”), redatta su carta intestata del Revisore, datata e firmata dal Revisore, che certifichi le spese sostenute e i rendiconti relativi in termini di ammissibilità, nel rispetto delle norme comunitarie, e ne attesti la coerenza rispetto al Progetto </w:t>
      </w:r>
      <w:proofErr w:type="spellStart"/>
      <w:r w:rsidRPr="003C46BE">
        <w:rPr>
          <w:rFonts w:ascii="Montserrat" w:hAnsi="Montserrat"/>
          <w:sz w:val="18"/>
          <w:szCs w:val="18"/>
        </w:rPr>
        <w:t>iNEST</w:t>
      </w:r>
      <w:proofErr w:type="spellEnd"/>
      <w:r w:rsidRPr="003C46BE">
        <w:rPr>
          <w:rFonts w:ascii="Montserrat" w:hAnsi="Montserrat"/>
          <w:sz w:val="18"/>
          <w:szCs w:val="18"/>
        </w:rPr>
        <w:t>.</w:t>
      </w:r>
    </w:p>
    <w:p w14:paraId="43675116" w14:textId="77777777" w:rsidR="00C23C9F" w:rsidRDefault="00C23C9F" w:rsidP="00C23C9F">
      <w:pPr>
        <w:spacing w:after="0"/>
        <w:rPr>
          <w:rFonts w:ascii="Montserrat" w:hAnsi="Montserrat"/>
          <w:sz w:val="18"/>
          <w:szCs w:val="18"/>
        </w:rPr>
      </w:pPr>
    </w:p>
    <w:p w14:paraId="6D9EA3B0" w14:textId="77777777" w:rsidR="00C23C9F" w:rsidRDefault="00C23C9F" w:rsidP="00C23C9F">
      <w:pPr>
        <w:spacing w:after="0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L’incarico è circoscritto alle verifiche da parte del Revisore effettuate e volte ad assicurare la ragionevole certezza della correttezza formale e sostanziale, nei limiti della documentazione fornita dal Beneficiario.  </w:t>
      </w:r>
    </w:p>
    <w:p w14:paraId="79FA89F3" w14:textId="77777777" w:rsidR="00C23C9F" w:rsidRDefault="00C23C9F" w:rsidP="00C23C9F">
      <w:pPr>
        <w:spacing w:after="0"/>
        <w:rPr>
          <w:rFonts w:ascii="Montserrat" w:hAnsi="Montserrat"/>
          <w:sz w:val="18"/>
          <w:szCs w:val="18"/>
        </w:rPr>
      </w:pPr>
    </w:p>
    <w:p w14:paraId="1B8B2897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I Rendiconti di Progetto dei periodi di riferimento, oggetto di controllo e certificazione da parte del Revisore, devono essere inclusi nella Relazione.</w:t>
      </w:r>
    </w:p>
    <w:p w14:paraId="44A0DF54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6AA47560" w14:textId="77777777" w:rsidR="00C23C9F" w:rsidRPr="0000667B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 w:rsidRPr="0000667B">
        <w:rPr>
          <w:rFonts w:ascii="Montserrat" w:hAnsi="Montserrat"/>
          <w:sz w:val="18"/>
          <w:szCs w:val="18"/>
        </w:rPr>
        <w:t>La descrizione delle Responsabilità del Beneficiario fra le quali, a titolo non esaustivo:</w:t>
      </w:r>
    </w:p>
    <w:p w14:paraId="4237D83D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redigere il Rendiconto o i Rendiconti di Progetto, finanziati nell’ambito del PNRR – Missione 4 – Componente 2 – Investimento 1.5, nel rispetto di quanto previsto dalle “</w:t>
      </w:r>
      <w:r w:rsidRPr="003C46BE">
        <w:rPr>
          <w:rFonts w:ascii="Montserrat" w:hAnsi="Montserrat"/>
          <w:i/>
          <w:sz w:val="18"/>
          <w:szCs w:val="18"/>
        </w:rPr>
        <w:t>Linee Guida per la rendicontazione destinate ai Soggetti Attuatori delle iniziative di sistema Missione 4 Componente 2</w:t>
      </w:r>
      <w:r w:rsidRPr="003C46BE">
        <w:rPr>
          <w:rFonts w:ascii="Montserrat" w:hAnsi="Montserrat"/>
          <w:sz w:val="18"/>
          <w:szCs w:val="18"/>
        </w:rPr>
        <w:t xml:space="preserve">”, versione 1.0 del 10 ottobre 2022 (tenendo conto di eventuali e futuri aggiornamenti di tali Linee Guida) redatte del MUR (“Amministrazione Titolare della Misura”); dalla normativa comunitaria e nazionale in tema di PNRR; da altre Linee Guida e Circolari emanate sia da tale Ministero che dal MEF. I Rendiconti di Progetto devono essere redatti secondo il sistema contabile del Beneficiario, i conti e le registrazioni sottostanti; </w:t>
      </w:r>
    </w:p>
    <w:p w14:paraId="736F795E" w14:textId="77777777" w:rsidR="00C23C9F" w:rsidRPr="003C46BE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inviare i Rendiconti di Progetto del periodo di riferimento al Revisore; </w:t>
      </w:r>
    </w:p>
    <w:p w14:paraId="169009DB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inviare le procedure e/o gli strumenti operativi di autocontrollo (ad es. check list, le dichiarazioni sostitutive di atto notorio, etc.) sia dei Rendiconti di Progetto che quelli relativi al doppio finanziamento, conflitto di interessi e titolare effettivo; </w:t>
      </w:r>
    </w:p>
    <w:p w14:paraId="2ED6D008" w14:textId="77777777" w:rsidR="00C23C9F" w:rsidRPr="003C46BE" w:rsidRDefault="00C23C9F" w:rsidP="00C23C9F">
      <w:pPr>
        <w:numPr>
          <w:ilvl w:val="0"/>
          <w:numId w:val="2"/>
        </w:numPr>
        <w:spacing w:after="35" w:line="239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possedere un sistema di contabilità separata o di codifica contabile adeguata, al fine di consentire al Revisore di </w:t>
      </w:r>
      <w:r w:rsidRPr="003C46BE">
        <w:rPr>
          <w:rFonts w:ascii="Montserrat" w:hAnsi="Montserrat"/>
          <w:sz w:val="18"/>
          <w:szCs w:val="18"/>
        </w:rPr>
        <w:lastRenderedPageBreak/>
        <w:t xml:space="preserve">verificare la tracciabilità dei flussi finanziari in entrata ed in uscita a valere sulle risorse del PNRR di ciascun Rendiconto di progetto e su eventuali altre fonti UE; </w:t>
      </w:r>
    </w:p>
    <w:p w14:paraId="01F78299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è responsabile e risponde della completezza e dell'accuratezza dei Rendiconti di Progetto delle informazioni fornite per consentire al Revisore di svolgere le verifiche necessarie. A tal proposito, l’attività di revisione è svolta al fine di acquisire ogni elemento necessario per accertare la correttezza dei Rendiconti di progetto oggetto del Mandato. La revisione si basa sulle verifiche degli elementi probatori a supporto delle informazioni contenute nei Rendiconti oggetto del Mandato; </w:t>
      </w:r>
    </w:p>
    <w:p w14:paraId="0F59EA32" w14:textId="77777777" w:rsidR="00C23C9F" w:rsidRPr="003C46BE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accetta che il Revisore abbia pieno accesso al personale e alla contabilità del Beneficiario, nonché a qualsiasi altra documentazione pertinente, al fine di poter eseguire le proprie procedure di verifica. </w:t>
      </w:r>
    </w:p>
    <w:p w14:paraId="077A4601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78DC4391" w14:textId="77777777" w:rsidR="00C23C9F" w:rsidRPr="0000667B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 w:rsidRPr="0000667B">
        <w:rPr>
          <w:rFonts w:ascii="Montserrat" w:hAnsi="Montserrat"/>
          <w:sz w:val="18"/>
          <w:szCs w:val="18"/>
        </w:rPr>
        <w:t xml:space="preserve">La descrizione delle </w:t>
      </w:r>
      <w:r>
        <w:rPr>
          <w:rFonts w:ascii="Montserrat" w:hAnsi="Montserrat"/>
          <w:sz w:val="18"/>
          <w:szCs w:val="18"/>
        </w:rPr>
        <w:t>caratteristiche del</w:t>
      </w:r>
      <w:r w:rsidRPr="0000667B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Revisore</w:t>
      </w:r>
      <w:r w:rsidRPr="0000667B">
        <w:rPr>
          <w:rFonts w:ascii="Montserrat" w:hAnsi="Montserrat"/>
          <w:sz w:val="18"/>
          <w:szCs w:val="18"/>
        </w:rPr>
        <w:t xml:space="preserve"> fra le quali, a titolo non esaustivo:</w:t>
      </w:r>
    </w:p>
    <w:p w14:paraId="3518FC26" w14:textId="77777777" w:rsidR="00C23C9F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essere </w:t>
      </w:r>
      <w:r w:rsidRPr="003C46BE">
        <w:rPr>
          <w:rFonts w:ascii="Montserrat" w:hAnsi="Montserrat"/>
          <w:sz w:val="18"/>
          <w:szCs w:val="18"/>
        </w:rPr>
        <w:t xml:space="preserve">correttamente iscritto al registro dei revisori legali istituito presso il Ministero dell’Economia e delle Finanze, in applicazione del Decreto Legislativo n. 39/2020.  </w:t>
      </w:r>
    </w:p>
    <w:p w14:paraId="1A8E1BFE" w14:textId="77777777" w:rsidR="00C23C9F" w:rsidRPr="00E562E2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E562E2">
        <w:rPr>
          <w:rFonts w:ascii="Montserrat" w:hAnsi="Montserrat"/>
          <w:sz w:val="18"/>
          <w:szCs w:val="18"/>
        </w:rPr>
        <w:t xml:space="preserve">essere indipendente dal Beneficiario; </w:t>
      </w:r>
    </w:p>
    <w:p w14:paraId="58D49F1C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pianificare in autonomia il lavoro in modo che le Procedure possano essere eseguite ed i risultati possano essere valutati; </w:t>
      </w:r>
    </w:p>
    <w:p w14:paraId="6FE8EC15" w14:textId="77777777" w:rsidR="00C23C9F" w:rsidRPr="003C46BE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rispettare le Procedure previste e il formato di Relazione indipendente; </w:t>
      </w:r>
    </w:p>
    <w:p w14:paraId="55B5C595" w14:textId="77777777" w:rsidR="00C23C9F" w:rsidRPr="003C46BE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svolgere l'incarico in conformità con il presente Mandato; </w:t>
      </w:r>
    </w:p>
    <w:p w14:paraId="3969CAF5" w14:textId="77777777" w:rsidR="00C23C9F" w:rsidRPr="003C46BE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documentare questioni importanti a sostegno della Relazione; </w:t>
      </w:r>
    </w:p>
    <w:p w14:paraId="2A9BED13" w14:textId="77777777" w:rsidR="00C23C9F" w:rsidRPr="003C46BE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basare la sua Relazione sulle prove raccolte; </w:t>
      </w:r>
    </w:p>
    <w:p w14:paraId="3AE2C419" w14:textId="77777777" w:rsidR="00C23C9F" w:rsidRPr="003C46BE" w:rsidRDefault="00C23C9F" w:rsidP="00C23C9F">
      <w:pPr>
        <w:numPr>
          <w:ilvl w:val="0"/>
          <w:numId w:val="2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segnalare al Beneficiario</w:t>
      </w:r>
      <w:r w:rsidRPr="003C46BE">
        <w:rPr>
          <w:rFonts w:ascii="Montserrat" w:hAnsi="Montserrat"/>
          <w:i/>
          <w:sz w:val="18"/>
          <w:szCs w:val="18"/>
        </w:rPr>
        <w:t xml:space="preserve"> </w:t>
      </w:r>
      <w:r w:rsidRPr="003C46BE">
        <w:rPr>
          <w:rFonts w:ascii="Montserrat" w:hAnsi="Montserrat"/>
          <w:sz w:val="18"/>
          <w:szCs w:val="18"/>
        </w:rPr>
        <w:t xml:space="preserve">eventuali criticità rilevate nel corso delle verifiche di competenza. </w:t>
      </w:r>
    </w:p>
    <w:p w14:paraId="2889D6E3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4B059A35" w14:textId="77777777" w:rsidR="00C23C9F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Il riferimento per l</w:t>
      </w:r>
      <w:r w:rsidRPr="003C46BE">
        <w:rPr>
          <w:rFonts w:ascii="Montserrat" w:hAnsi="Montserrat"/>
          <w:sz w:val="18"/>
          <w:szCs w:val="18"/>
        </w:rPr>
        <w:t xml:space="preserve">e verifiche di competenza del Revisore </w:t>
      </w:r>
      <w:r>
        <w:rPr>
          <w:rFonts w:ascii="Montserrat" w:hAnsi="Montserrat"/>
          <w:sz w:val="18"/>
          <w:szCs w:val="18"/>
        </w:rPr>
        <w:t>di</w:t>
      </w:r>
      <w:r w:rsidRPr="003C46BE">
        <w:rPr>
          <w:rFonts w:ascii="Montserrat" w:hAnsi="Montserrat"/>
          <w:sz w:val="18"/>
          <w:szCs w:val="18"/>
        </w:rPr>
        <w:t xml:space="preserve"> conformi</w:t>
      </w:r>
      <w:r>
        <w:rPr>
          <w:rFonts w:ascii="Montserrat" w:hAnsi="Montserrat"/>
          <w:sz w:val="18"/>
          <w:szCs w:val="18"/>
        </w:rPr>
        <w:t>tà</w:t>
      </w:r>
      <w:r w:rsidRPr="003C46BE">
        <w:rPr>
          <w:rFonts w:ascii="Montserrat" w:hAnsi="Montserrat"/>
          <w:sz w:val="18"/>
          <w:szCs w:val="18"/>
        </w:rPr>
        <w:t xml:space="preserve"> a quanto previsto dall’articolo 22 del Regolamento (UE) n. 2021/241 del Parlamento europeo e del Consiglio del 12 febbraio 2021 che istituisce il Dispositivo per la Ripresa e la Resilienza.</w:t>
      </w:r>
    </w:p>
    <w:p w14:paraId="30F9B1A1" w14:textId="77777777" w:rsidR="00C23C9F" w:rsidRPr="003C46BE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7620472D" w14:textId="77777777" w:rsidR="00C23C9F" w:rsidRPr="003C46BE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L’indicazione della</w:t>
      </w:r>
      <w:r w:rsidRPr="003C46BE">
        <w:rPr>
          <w:rFonts w:ascii="Montserrat" w:hAnsi="Montserrat"/>
          <w:sz w:val="18"/>
          <w:szCs w:val="18"/>
        </w:rPr>
        <w:t xml:space="preserve"> normativa comunitaria e nazionale applicabile in materia e con particolare riferimento, a titolo indicativo e non esaustivo, alle disposizioni di cui:</w:t>
      </w:r>
    </w:p>
    <w:p w14:paraId="4F577372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al Regolamento (UE) n. 2021/241 e al Decreto-legge n. 77 del 31 maggio 2021, come modificato dalla Legge 29 luglio 2021, n. 108; </w:t>
      </w:r>
    </w:p>
    <w:p w14:paraId="68F4BE0B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al principio di sana gestione finanziaria, secondo quanto disciplinato nel Regolamento finanziario (UE, </w:t>
      </w:r>
      <w:proofErr w:type="spellStart"/>
      <w:r w:rsidRPr="003C46BE">
        <w:rPr>
          <w:rFonts w:ascii="Montserrat" w:hAnsi="Montserrat"/>
          <w:sz w:val="18"/>
          <w:szCs w:val="18"/>
        </w:rPr>
        <w:t>Euratom</w:t>
      </w:r>
      <w:proofErr w:type="spellEnd"/>
      <w:r w:rsidRPr="003C46BE">
        <w:rPr>
          <w:rFonts w:ascii="Montserrat" w:hAnsi="Montserrat"/>
          <w:sz w:val="18"/>
          <w:szCs w:val="18"/>
        </w:rPr>
        <w:t xml:space="preserve">) n. 2018/1046 e nell’articolo 22 del Regolamento (UE) n. 2021/241, in particolare, in materia di prevenzione dei conflitti di interessi, delle frodi, della corruzione e di recupero e restituzione dei fondi che sono stati indebitamente assegnati; </w:t>
      </w:r>
    </w:p>
    <w:p w14:paraId="102B9FD7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alla normativa nazionale e relative linee guida in materia di PNRR; </w:t>
      </w:r>
    </w:p>
    <w:p w14:paraId="749FA789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il </w:t>
      </w:r>
      <w:proofErr w:type="spellStart"/>
      <w:r w:rsidRPr="003C46BE">
        <w:rPr>
          <w:rFonts w:ascii="Montserrat" w:hAnsi="Montserrat"/>
          <w:sz w:val="18"/>
          <w:szCs w:val="18"/>
        </w:rPr>
        <w:t>D.lgs</w:t>
      </w:r>
      <w:proofErr w:type="spellEnd"/>
      <w:r w:rsidRPr="003C46BE">
        <w:rPr>
          <w:rFonts w:ascii="Montserrat" w:hAnsi="Montserrat"/>
          <w:sz w:val="18"/>
          <w:szCs w:val="18"/>
        </w:rPr>
        <w:t xml:space="preserve"> 24 febbraio 2023, n. 13 circa le disposizioni urgenti per l'attuazione del Piano nazionale di ripresa e resilienza (PNRR) e del Piano nazionale degli investimenti complementari al PNRR (PNC), nonché' per l'attuazione delle politiche di coesione e della politica agricola comune. (23G00022) (GU Serie Generale n.47 del 24-02-2023) </w:t>
      </w:r>
    </w:p>
    <w:p w14:paraId="2BEB27F5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all’Avviso di riferimento </w:t>
      </w:r>
      <w:r w:rsidRPr="003D28F0">
        <w:rPr>
          <w:rFonts w:ascii="Montserrat" w:hAnsi="Montserrat"/>
          <w:sz w:val="18"/>
          <w:szCs w:val="18"/>
        </w:rPr>
        <w:t xml:space="preserve">(n. 3277 del 30-12-2021) </w:t>
      </w:r>
      <w:r w:rsidRPr="003C46BE">
        <w:rPr>
          <w:rFonts w:ascii="Montserrat" w:hAnsi="Montserrat"/>
          <w:sz w:val="18"/>
          <w:szCs w:val="18"/>
        </w:rPr>
        <w:t xml:space="preserve">e alle relative FAQ interpretative; </w:t>
      </w:r>
    </w:p>
    <w:p w14:paraId="7768BF23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alle Circolari emanate dal MEF in materia di PNRR; </w:t>
      </w:r>
    </w:p>
    <w:p w14:paraId="08799974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alle Linee Guida per la rendicontazione adottate dal MUR e destinate ai Soggetti Attuatori degli interventi finanziati; </w:t>
      </w:r>
    </w:p>
    <w:p w14:paraId="3C00B4CF" w14:textId="77777777" w:rsidR="00C23C9F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alle altre norme applicabili. </w:t>
      </w:r>
    </w:p>
    <w:p w14:paraId="02252F7C" w14:textId="77777777" w:rsidR="00C23C9F" w:rsidRPr="003C46BE" w:rsidRDefault="00C23C9F" w:rsidP="00C23C9F">
      <w:pPr>
        <w:spacing w:after="27"/>
        <w:ind w:right="42"/>
        <w:rPr>
          <w:rFonts w:ascii="Montserrat" w:hAnsi="Montserrat"/>
          <w:sz w:val="18"/>
          <w:szCs w:val="18"/>
        </w:rPr>
      </w:pPr>
    </w:p>
    <w:p w14:paraId="679B6A0E" w14:textId="77777777" w:rsidR="00C23C9F" w:rsidRPr="003C46BE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L</w:t>
      </w:r>
      <w:r>
        <w:rPr>
          <w:rFonts w:ascii="Montserrat" w:hAnsi="Montserrat"/>
          <w:sz w:val="18"/>
          <w:szCs w:val="18"/>
        </w:rPr>
        <w:t xml:space="preserve">’indicazione del </w:t>
      </w:r>
      <w:r w:rsidRPr="003613B0">
        <w:rPr>
          <w:rFonts w:ascii="Montserrat" w:hAnsi="Montserrat"/>
          <w:sz w:val="18"/>
          <w:szCs w:val="18"/>
        </w:rPr>
        <w:t xml:space="preserve">numero </w:t>
      </w:r>
      <w:r>
        <w:rPr>
          <w:rFonts w:ascii="Montserrat" w:hAnsi="Montserrat"/>
          <w:sz w:val="18"/>
          <w:szCs w:val="18"/>
        </w:rPr>
        <w:t>di</w:t>
      </w:r>
      <w:r w:rsidRPr="003613B0">
        <w:rPr>
          <w:rFonts w:ascii="Montserrat" w:hAnsi="Montserrat"/>
          <w:sz w:val="18"/>
          <w:szCs w:val="18"/>
        </w:rPr>
        <w:t xml:space="preserve"> </w:t>
      </w:r>
      <w:r w:rsidRPr="003C46BE">
        <w:rPr>
          <w:rFonts w:ascii="Montserrat" w:hAnsi="Montserrat"/>
          <w:sz w:val="18"/>
          <w:szCs w:val="18"/>
        </w:rPr>
        <w:t>giorni, dalla consegna della documentazione relativa ai Rendiconti di Progetto, oggetto di controllo</w:t>
      </w:r>
      <w:r>
        <w:rPr>
          <w:rFonts w:ascii="Montserrat" w:hAnsi="Montserrat"/>
          <w:sz w:val="18"/>
          <w:szCs w:val="18"/>
        </w:rPr>
        <w:t xml:space="preserve"> entro cui il Certificato</w:t>
      </w:r>
      <w:r w:rsidRPr="003C46BE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dovrà essere fornito</w:t>
      </w:r>
      <w:r w:rsidRPr="003C46BE">
        <w:rPr>
          <w:rFonts w:ascii="Montserrat" w:hAnsi="Montserrat"/>
          <w:sz w:val="18"/>
          <w:szCs w:val="18"/>
        </w:rPr>
        <w:t xml:space="preserve">. </w:t>
      </w:r>
    </w:p>
    <w:p w14:paraId="50409C44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59B7ACE0" w14:textId="77777777" w:rsidR="00C23C9F" w:rsidRPr="003C46BE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L’indicazione che l</w:t>
      </w:r>
      <w:r w:rsidRPr="003C46BE">
        <w:rPr>
          <w:rFonts w:ascii="Montserrat" w:hAnsi="Montserrat"/>
          <w:sz w:val="18"/>
          <w:szCs w:val="18"/>
        </w:rPr>
        <w:t xml:space="preserve">a redazione della Relazione avverrà nel pieno rispetto di quanto previsto dal </w:t>
      </w:r>
      <w:proofErr w:type="spellStart"/>
      <w:r w:rsidRPr="003C46BE">
        <w:rPr>
          <w:rFonts w:ascii="Montserrat" w:hAnsi="Montserrat"/>
          <w:sz w:val="18"/>
          <w:szCs w:val="18"/>
        </w:rPr>
        <w:t>D.Lgs.</w:t>
      </w:r>
      <w:proofErr w:type="spellEnd"/>
      <w:r w:rsidRPr="003C46BE">
        <w:rPr>
          <w:rFonts w:ascii="Montserrat" w:hAnsi="Montserrat"/>
          <w:sz w:val="18"/>
          <w:szCs w:val="18"/>
        </w:rPr>
        <w:t xml:space="preserve"> n. 196 del 30 giugno 2023 (Codice in materia di protezione dei dati personali) e successive modifiche ed integrazioni e dal Regolamento (UE) n. 679/2016, relativo alla protezione delle persone fisiche con riguardo al trattamento dei dati personali. A tal fine, il Revisore si impegna a: </w:t>
      </w:r>
    </w:p>
    <w:p w14:paraId="766FF4D9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non utilizzare i </w:t>
      </w:r>
      <w:r w:rsidRPr="003C46BE">
        <w:rPr>
          <w:rFonts w:ascii="Montserrat" w:hAnsi="Montserrat"/>
          <w:sz w:val="18"/>
          <w:szCs w:val="18"/>
        </w:rPr>
        <w:lastRenderedPageBreak/>
        <w:t xml:space="preserve">dati in proprio e comunque per qualsiasi finalità estranea al corretto svolgimento del presente Mandato; </w:t>
      </w:r>
    </w:p>
    <w:p w14:paraId="4011231E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non divulgare a terzi qualsiasi informazione di cui dovesse venire a conoscenza, durante l’esecuzione del presente Mandato; </w:t>
      </w:r>
    </w:p>
    <w:p w14:paraId="6C7CFA28" w14:textId="77777777" w:rsidR="00C23C9F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non cedere o concedere i dati a terzi, totalmente o parzialmente, a qualsiasi titolo;</w:t>
      </w:r>
    </w:p>
    <w:p w14:paraId="1195BC95" w14:textId="77777777" w:rsidR="00C23C9F" w:rsidRPr="003C46BE" w:rsidRDefault="00C23C9F" w:rsidP="00C23C9F">
      <w:pPr>
        <w:numPr>
          <w:ilvl w:val="0"/>
          <w:numId w:val="2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non duplicare o riprodurre i dati, in proprio, per finalità diverse dal presente Mandato. </w:t>
      </w:r>
    </w:p>
    <w:p w14:paraId="387050E8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47DCB7A3" w14:textId="77777777" w:rsidR="00C23C9F" w:rsidRPr="003C46BE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Il Revisore </w:t>
      </w:r>
      <w:r>
        <w:rPr>
          <w:rFonts w:ascii="Montserrat" w:hAnsi="Montserrat"/>
          <w:sz w:val="18"/>
          <w:szCs w:val="18"/>
        </w:rPr>
        <w:t xml:space="preserve">potrà </w:t>
      </w:r>
      <w:r w:rsidRPr="003C46BE">
        <w:rPr>
          <w:rFonts w:ascii="Montserrat" w:hAnsi="Montserrat"/>
          <w:sz w:val="18"/>
          <w:szCs w:val="18"/>
        </w:rPr>
        <w:t>utilizz</w:t>
      </w:r>
      <w:r>
        <w:rPr>
          <w:rFonts w:ascii="Montserrat" w:hAnsi="Montserrat"/>
          <w:sz w:val="18"/>
          <w:szCs w:val="18"/>
        </w:rPr>
        <w:t>are</w:t>
      </w:r>
      <w:r w:rsidRPr="003C46BE">
        <w:rPr>
          <w:rFonts w:ascii="Montserrat" w:hAnsi="Montserrat"/>
          <w:sz w:val="18"/>
          <w:szCs w:val="18"/>
        </w:rPr>
        <w:t xml:space="preserve"> una check list specifica per effettuare le verifiche sostanziali, in linea con i punti di controllo riportati nell'Allegato "</w:t>
      </w:r>
      <w:r w:rsidRPr="003C46BE">
        <w:rPr>
          <w:rFonts w:ascii="Montserrat" w:hAnsi="Montserrat"/>
          <w:i/>
          <w:sz w:val="18"/>
          <w:szCs w:val="18"/>
        </w:rPr>
        <w:t>Check list del Revisore</w:t>
      </w:r>
      <w:r w:rsidRPr="003C46BE">
        <w:rPr>
          <w:rFonts w:ascii="Montserrat" w:hAnsi="Montserrat"/>
          <w:sz w:val="18"/>
          <w:szCs w:val="18"/>
        </w:rPr>
        <w:t xml:space="preserve">" e secondo il proprio giudizio professionale provvederà a modificare/integrare i punti di controllo nella propria check list propedeutica al rilascio della Relazione. </w:t>
      </w:r>
    </w:p>
    <w:p w14:paraId="797DBC82" w14:textId="77777777" w:rsidR="00C23C9F" w:rsidRDefault="00C23C9F" w:rsidP="00C23C9F">
      <w:pPr>
        <w:pStyle w:val="Titolo2"/>
        <w:ind w:left="-5"/>
        <w:rPr>
          <w:rFonts w:ascii="Montserrat" w:hAnsi="Montserrat"/>
          <w:color w:val="000000" w:themeColor="text1"/>
          <w:sz w:val="18"/>
          <w:szCs w:val="18"/>
        </w:rPr>
      </w:pPr>
    </w:p>
    <w:p w14:paraId="67B5AE53" w14:textId="77777777" w:rsidR="00C23C9F" w:rsidRPr="003C46BE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Il</w:t>
      </w:r>
      <w:r>
        <w:rPr>
          <w:rFonts w:ascii="Montserrat" w:hAnsi="Montserrat"/>
          <w:sz w:val="18"/>
          <w:szCs w:val="18"/>
        </w:rPr>
        <w:t xml:space="preserve"> riferimento agli standard applicabili </w:t>
      </w:r>
      <w:proofErr w:type="gramStart"/>
      <w:r>
        <w:rPr>
          <w:rFonts w:ascii="Montserrat" w:hAnsi="Montserrat"/>
          <w:sz w:val="18"/>
          <w:szCs w:val="18"/>
        </w:rPr>
        <w:t xml:space="preserve">dal </w:t>
      </w:r>
      <w:r w:rsidRPr="003C46BE">
        <w:rPr>
          <w:rFonts w:ascii="Montserrat" w:hAnsi="Montserrat"/>
          <w:sz w:val="18"/>
          <w:szCs w:val="18"/>
        </w:rPr>
        <w:t xml:space="preserve"> Revisore</w:t>
      </w:r>
      <w:proofErr w:type="gramEnd"/>
      <w:r w:rsidRPr="003C46BE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nel</w:t>
      </w:r>
      <w:r w:rsidRPr="003C46BE">
        <w:rPr>
          <w:rFonts w:ascii="Montserrat" w:hAnsi="Montserrat"/>
          <w:sz w:val="18"/>
          <w:szCs w:val="18"/>
        </w:rPr>
        <w:t xml:space="preserve"> rispettare i termini del Mandato</w:t>
      </w:r>
      <w:r w:rsidRPr="00D476CF">
        <w:rPr>
          <w:rFonts w:ascii="Montserrat" w:hAnsi="Montserrat"/>
          <w:sz w:val="18"/>
          <w:szCs w:val="18"/>
        </w:rPr>
        <w:footnoteReference w:id="1"/>
      </w:r>
      <w:r w:rsidRPr="003C46BE">
        <w:rPr>
          <w:rFonts w:ascii="Montserrat" w:hAnsi="Montserrat"/>
          <w:sz w:val="18"/>
          <w:szCs w:val="18"/>
        </w:rPr>
        <w:t xml:space="preserve">: </w:t>
      </w:r>
    </w:p>
    <w:p w14:paraId="3FEDA3F5" w14:textId="77777777" w:rsidR="00C23C9F" w:rsidRPr="003C46BE" w:rsidRDefault="00C23C9F" w:rsidP="00C23C9F">
      <w:pPr>
        <w:numPr>
          <w:ilvl w:val="0"/>
          <w:numId w:val="3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  <w:lang w:val="en-US"/>
        </w:rPr>
      </w:pPr>
      <w:proofErr w:type="spellStart"/>
      <w:r w:rsidRPr="003C46BE">
        <w:rPr>
          <w:rFonts w:ascii="Montserrat" w:hAnsi="Montserrat"/>
          <w:sz w:val="18"/>
          <w:szCs w:val="18"/>
          <w:lang w:val="en-US"/>
        </w:rPr>
        <w:t>l'International</w:t>
      </w:r>
      <w:proofErr w:type="spellEnd"/>
      <w:r w:rsidRPr="003C46BE">
        <w:rPr>
          <w:rFonts w:ascii="Montserrat" w:hAnsi="Montserrat"/>
          <w:sz w:val="18"/>
          <w:szCs w:val="18"/>
          <w:lang w:val="en-US"/>
        </w:rPr>
        <w:t xml:space="preserve"> Standard on Related Services ('ISRS') 4400 </w:t>
      </w:r>
      <w:r w:rsidRPr="003C46BE">
        <w:rPr>
          <w:rFonts w:ascii="Montserrat" w:hAnsi="Montserrat"/>
          <w:i/>
          <w:sz w:val="18"/>
          <w:szCs w:val="18"/>
          <w:lang w:val="en-US"/>
        </w:rPr>
        <w:t xml:space="preserve">Engagements to perform Agreed-on Procedures regarding Financial Information </w:t>
      </w:r>
      <w:proofErr w:type="spellStart"/>
      <w:r w:rsidRPr="003C46BE">
        <w:rPr>
          <w:rFonts w:ascii="Montserrat" w:hAnsi="Montserrat"/>
          <w:sz w:val="18"/>
          <w:szCs w:val="18"/>
          <w:lang w:val="en-US"/>
        </w:rPr>
        <w:t>rilasciato</w:t>
      </w:r>
      <w:proofErr w:type="spellEnd"/>
      <w:r w:rsidRPr="003C46BE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3C46BE">
        <w:rPr>
          <w:rFonts w:ascii="Montserrat" w:hAnsi="Montserrat"/>
          <w:sz w:val="18"/>
          <w:szCs w:val="18"/>
          <w:lang w:val="en-US"/>
        </w:rPr>
        <w:t>dall'International</w:t>
      </w:r>
      <w:proofErr w:type="spellEnd"/>
      <w:r w:rsidRPr="003C46BE">
        <w:rPr>
          <w:rFonts w:ascii="Montserrat" w:hAnsi="Montserrat"/>
          <w:sz w:val="18"/>
          <w:szCs w:val="18"/>
          <w:lang w:val="en-US"/>
        </w:rPr>
        <w:t xml:space="preserve"> Auditing and Assurance Standards Board (IAASB</w:t>
      </w:r>
      <w:proofErr w:type="gramStart"/>
      <w:r w:rsidRPr="003C46BE">
        <w:rPr>
          <w:rFonts w:ascii="Montserrat" w:hAnsi="Montserrat"/>
          <w:sz w:val="18"/>
          <w:szCs w:val="18"/>
          <w:lang w:val="en-US"/>
        </w:rPr>
        <w:t>);</w:t>
      </w:r>
      <w:proofErr w:type="gramEnd"/>
      <w:r w:rsidRPr="003C46BE">
        <w:rPr>
          <w:rFonts w:ascii="Montserrat" w:hAnsi="Montserrat"/>
          <w:sz w:val="18"/>
          <w:szCs w:val="18"/>
          <w:lang w:val="en-US"/>
        </w:rPr>
        <w:t xml:space="preserve"> </w:t>
      </w:r>
    </w:p>
    <w:p w14:paraId="1AB7C6DF" w14:textId="77777777" w:rsidR="00C23C9F" w:rsidRPr="003C46BE" w:rsidRDefault="00C23C9F" w:rsidP="00C23C9F">
      <w:pPr>
        <w:numPr>
          <w:ilvl w:val="0"/>
          <w:numId w:val="3"/>
        </w:numPr>
        <w:spacing w:after="3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il </w:t>
      </w:r>
      <w:r w:rsidRPr="003C46BE">
        <w:rPr>
          <w:rFonts w:ascii="Montserrat" w:hAnsi="Montserrat"/>
          <w:i/>
          <w:sz w:val="18"/>
          <w:szCs w:val="18"/>
        </w:rPr>
        <w:t xml:space="preserve">Codice Etico per i Dottori Commercialisti </w:t>
      </w:r>
      <w:r w:rsidRPr="003C46BE">
        <w:rPr>
          <w:rFonts w:ascii="Montserrat" w:hAnsi="Montserrat"/>
          <w:sz w:val="18"/>
          <w:szCs w:val="18"/>
        </w:rPr>
        <w:t xml:space="preserve">emanato dall'International Ethics Standards Board for </w:t>
      </w:r>
      <w:proofErr w:type="spellStart"/>
      <w:r w:rsidRPr="003C46BE">
        <w:rPr>
          <w:rFonts w:ascii="Montserrat" w:hAnsi="Montserrat"/>
          <w:sz w:val="18"/>
          <w:szCs w:val="18"/>
        </w:rPr>
        <w:t>Accountants</w:t>
      </w:r>
      <w:proofErr w:type="spellEnd"/>
      <w:r w:rsidRPr="003C46BE">
        <w:rPr>
          <w:rFonts w:ascii="Montserrat" w:hAnsi="Montserrat"/>
          <w:sz w:val="18"/>
          <w:szCs w:val="18"/>
        </w:rPr>
        <w:t xml:space="preserve"> (IESBA). Sebbene l'ISRS 4400 affermi che l'indipendenza non è un requisito per gli incarichi per svolgere procedure concordate, la Commissione Europea</w:t>
      </w:r>
      <w:r w:rsidRPr="003C46BE">
        <w:rPr>
          <w:rFonts w:ascii="Montserrat" w:hAnsi="Montserrat"/>
          <w:i/>
          <w:sz w:val="18"/>
          <w:szCs w:val="18"/>
        </w:rPr>
        <w:t xml:space="preserve"> </w:t>
      </w:r>
      <w:r w:rsidRPr="003C46BE">
        <w:rPr>
          <w:rFonts w:ascii="Montserrat" w:hAnsi="Montserrat"/>
          <w:sz w:val="18"/>
          <w:szCs w:val="18"/>
        </w:rPr>
        <w:t xml:space="preserve">richiede che il revisore rispetti anche i requisiti di indipendenza del Codice. </w:t>
      </w:r>
    </w:p>
    <w:p w14:paraId="17551CD3" w14:textId="77777777" w:rsidR="00C23C9F" w:rsidRPr="003C46BE" w:rsidRDefault="00C23C9F" w:rsidP="00C23C9F">
      <w:pPr>
        <w:spacing w:after="0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 </w:t>
      </w:r>
    </w:p>
    <w:p w14:paraId="373F8CE4" w14:textId="77777777" w:rsidR="00C23C9F" w:rsidRDefault="00C23C9F" w:rsidP="00C23C9F">
      <w:pPr>
        <w:pStyle w:val="Paragrafoelenco"/>
        <w:numPr>
          <w:ilvl w:val="0"/>
          <w:numId w:val="4"/>
        </w:numPr>
        <w:ind w:left="0" w:right="42" w:hanging="284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 xml:space="preserve">La Relazione </w:t>
      </w:r>
      <w:r>
        <w:rPr>
          <w:rFonts w:ascii="Montserrat" w:hAnsi="Montserrat"/>
          <w:sz w:val="18"/>
          <w:szCs w:val="18"/>
        </w:rPr>
        <w:t>dovrà</w:t>
      </w:r>
      <w:r w:rsidRPr="003C46BE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riportare in forma esplicita</w:t>
      </w:r>
      <w:r w:rsidRPr="003C46BE">
        <w:rPr>
          <w:rFonts w:ascii="Montserrat" w:hAnsi="Montserrat"/>
          <w:sz w:val="18"/>
          <w:szCs w:val="18"/>
        </w:rPr>
        <w:t xml:space="preserve"> che</w:t>
      </w:r>
      <w:r>
        <w:rPr>
          <w:rFonts w:ascii="Montserrat" w:hAnsi="Montserrat"/>
          <w:sz w:val="18"/>
          <w:szCs w:val="18"/>
        </w:rPr>
        <w:t xml:space="preserve"> il Revisore</w:t>
      </w:r>
      <w:r w:rsidRPr="003C46BE">
        <w:rPr>
          <w:rFonts w:ascii="Montserrat" w:hAnsi="Montserrat"/>
          <w:sz w:val="18"/>
          <w:szCs w:val="18"/>
        </w:rPr>
        <w:t xml:space="preserve"> è</w:t>
      </w:r>
      <w:r>
        <w:rPr>
          <w:rFonts w:ascii="Montserrat" w:hAnsi="Montserrat"/>
          <w:sz w:val="18"/>
          <w:szCs w:val="18"/>
        </w:rPr>
        <w:t>:</w:t>
      </w:r>
    </w:p>
    <w:p w14:paraId="1C0CD02F" w14:textId="77777777" w:rsidR="00C23C9F" w:rsidRDefault="00C23C9F" w:rsidP="00C23C9F">
      <w:pPr>
        <w:numPr>
          <w:ilvl w:val="0"/>
          <w:numId w:val="3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  <w:lang w:val="en-US"/>
        </w:rPr>
      </w:pPr>
      <w:proofErr w:type="spellStart"/>
      <w:r w:rsidRPr="00E3733D">
        <w:rPr>
          <w:rFonts w:ascii="Montserrat" w:hAnsi="Montserrat"/>
          <w:sz w:val="18"/>
          <w:szCs w:val="18"/>
          <w:lang w:val="en-US"/>
        </w:rPr>
        <w:t>indipendente</w:t>
      </w:r>
      <w:proofErr w:type="spellEnd"/>
    </w:p>
    <w:p w14:paraId="329B6E3F" w14:textId="77777777" w:rsidR="00C23C9F" w:rsidRPr="00F55003" w:rsidRDefault="00C23C9F" w:rsidP="00C23C9F">
      <w:pPr>
        <w:numPr>
          <w:ilvl w:val="0"/>
          <w:numId w:val="3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F55003">
        <w:rPr>
          <w:rFonts w:ascii="Montserrat" w:hAnsi="Montserrat"/>
          <w:sz w:val="18"/>
          <w:szCs w:val="18"/>
        </w:rPr>
        <w:t>non si trova in alcun conflitto di interessi nella stesura della stessa</w:t>
      </w:r>
    </w:p>
    <w:p w14:paraId="0FE13231" w14:textId="77777777" w:rsidR="00C23C9F" w:rsidRPr="00F55003" w:rsidRDefault="00C23C9F" w:rsidP="00C23C9F">
      <w:pPr>
        <w:numPr>
          <w:ilvl w:val="0"/>
          <w:numId w:val="3"/>
        </w:numPr>
        <w:spacing w:after="27" w:line="248" w:lineRule="auto"/>
        <w:ind w:right="42" w:hanging="360"/>
        <w:jc w:val="both"/>
        <w:rPr>
          <w:rFonts w:ascii="Montserrat" w:hAnsi="Montserrat"/>
          <w:sz w:val="18"/>
          <w:szCs w:val="18"/>
        </w:rPr>
      </w:pPr>
      <w:r w:rsidRPr="00F55003">
        <w:rPr>
          <w:rFonts w:ascii="Montserrat" w:hAnsi="Montserrat"/>
          <w:sz w:val="18"/>
          <w:szCs w:val="18"/>
        </w:rPr>
        <w:t xml:space="preserve">il compenso totale pattuito al Revisore per il relativo rilascio. </w:t>
      </w:r>
    </w:p>
    <w:p w14:paraId="4D4F4A55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75E3721F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Il </w:t>
      </w:r>
      <w:r w:rsidRPr="003C46BE">
        <w:rPr>
          <w:rFonts w:ascii="Montserrat" w:hAnsi="Montserrat"/>
          <w:sz w:val="18"/>
          <w:szCs w:val="18"/>
        </w:rPr>
        <w:t>Certificat</w:t>
      </w:r>
      <w:r>
        <w:rPr>
          <w:rFonts w:ascii="Montserrat" w:hAnsi="Montserrat"/>
          <w:sz w:val="18"/>
          <w:szCs w:val="18"/>
        </w:rPr>
        <w:t>o</w:t>
      </w:r>
      <w:r w:rsidRPr="003C46BE">
        <w:rPr>
          <w:rFonts w:ascii="Montserrat" w:hAnsi="Montserrat"/>
          <w:sz w:val="18"/>
          <w:szCs w:val="18"/>
        </w:rPr>
        <w:t xml:space="preserve"> non impedisce alle diverse Autorità/Organismi di Controllo (ad es. HUB </w:t>
      </w:r>
      <w:proofErr w:type="spellStart"/>
      <w:r w:rsidRPr="003C46BE">
        <w:rPr>
          <w:rFonts w:ascii="Montserrat" w:hAnsi="Montserrat"/>
          <w:sz w:val="18"/>
          <w:szCs w:val="18"/>
        </w:rPr>
        <w:t>iNEST</w:t>
      </w:r>
      <w:proofErr w:type="spellEnd"/>
      <w:r w:rsidRPr="003C46BE">
        <w:rPr>
          <w:rFonts w:ascii="Montserrat" w:hAnsi="Montserrat"/>
          <w:sz w:val="18"/>
          <w:szCs w:val="18"/>
        </w:rPr>
        <w:t xml:space="preserve">, Invitalia S.p.A, MUR, MEF, Commissione Europea, </w:t>
      </w:r>
      <w:proofErr w:type="gramStart"/>
      <w:r w:rsidRPr="003C46BE">
        <w:rPr>
          <w:rFonts w:ascii="Montserrat" w:hAnsi="Montserrat"/>
          <w:sz w:val="18"/>
          <w:szCs w:val="18"/>
        </w:rPr>
        <w:t>Corte dei Conti</w:t>
      </w:r>
      <w:proofErr w:type="gramEnd"/>
      <w:r w:rsidRPr="003C46BE">
        <w:rPr>
          <w:rFonts w:ascii="Montserrat" w:hAnsi="Montserrat"/>
          <w:sz w:val="18"/>
          <w:szCs w:val="18"/>
        </w:rPr>
        <w:t xml:space="preserve"> Europea, etc.) di effettuare ulteriori controlli, revisioni ed indagini.</w:t>
      </w:r>
    </w:p>
    <w:p w14:paraId="319E07E6" w14:textId="77777777" w:rsidR="00C23C9F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</w:p>
    <w:p w14:paraId="16A1C71E" w14:textId="77777777" w:rsidR="00C23C9F" w:rsidRPr="003C46BE" w:rsidRDefault="00C23C9F" w:rsidP="00C23C9F">
      <w:pPr>
        <w:spacing w:after="212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Le diverse Autorità/Organismi di Controllo del PNRR hanno il diritto di controllare qualsiasi lavoro svolto nell'ambito delle Misure del PNRR e per il quale i costi sono dichiarati a carico del bilancio dell'Unione Europea. Ciò include anche il lavoro relativo alla Relazione.</w:t>
      </w:r>
    </w:p>
    <w:p w14:paraId="57608517" w14:textId="77777777" w:rsidR="00C23C9F" w:rsidRPr="003C46BE" w:rsidRDefault="00C23C9F" w:rsidP="00C23C9F">
      <w:pPr>
        <w:ind w:left="-5" w:right="42"/>
        <w:rPr>
          <w:rFonts w:ascii="Montserrat" w:hAnsi="Montserrat"/>
          <w:sz w:val="18"/>
          <w:szCs w:val="18"/>
        </w:rPr>
      </w:pPr>
      <w:r w:rsidRPr="003C46BE">
        <w:rPr>
          <w:rFonts w:ascii="Montserrat" w:hAnsi="Montserrat"/>
          <w:sz w:val="18"/>
          <w:szCs w:val="18"/>
        </w:rPr>
        <w:t>Il Revisore d</w:t>
      </w:r>
      <w:r>
        <w:rPr>
          <w:rFonts w:ascii="Montserrat" w:hAnsi="Montserrat"/>
          <w:sz w:val="18"/>
          <w:szCs w:val="18"/>
        </w:rPr>
        <w:t>ovrà</w:t>
      </w:r>
      <w:r w:rsidRPr="003C46BE">
        <w:rPr>
          <w:rFonts w:ascii="Montserrat" w:hAnsi="Montserrat"/>
          <w:sz w:val="18"/>
          <w:szCs w:val="18"/>
        </w:rPr>
        <w:t xml:space="preserve"> consentire l'accesso a tutte le carte di lavoro relative a tale incarico, se tali Autorità/Organismi di Controllo li richiedano.  </w:t>
      </w:r>
    </w:p>
    <w:p w14:paraId="2CDEB03A" w14:textId="77777777" w:rsidR="00C23C9F" w:rsidRPr="003C46BE" w:rsidRDefault="00C23C9F" w:rsidP="00C23C9F">
      <w:pPr>
        <w:ind w:right="42"/>
        <w:rPr>
          <w:rFonts w:ascii="Montserrat" w:hAnsi="Montserrat"/>
          <w:sz w:val="18"/>
          <w:szCs w:val="18"/>
        </w:rPr>
      </w:pPr>
    </w:p>
    <w:p w14:paraId="761B77FC" w14:textId="77777777" w:rsidR="00C23C9F" w:rsidRPr="003C46BE" w:rsidRDefault="00C23C9F" w:rsidP="00C23C9F">
      <w:pPr>
        <w:spacing w:after="212"/>
        <w:rPr>
          <w:rFonts w:ascii="Montserrat" w:hAnsi="Montserrat"/>
          <w:sz w:val="18"/>
          <w:szCs w:val="18"/>
        </w:rPr>
      </w:pPr>
    </w:p>
    <w:p w14:paraId="16D6F35D" w14:textId="77777777" w:rsidR="00C23C9F" w:rsidRPr="003C46BE" w:rsidRDefault="00C23C9F" w:rsidP="00C23C9F">
      <w:pPr>
        <w:spacing w:after="0"/>
        <w:rPr>
          <w:rFonts w:ascii="Montserrat" w:hAnsi="Montserrat"/>
        </w:rPr>
      </w:pPr>
      <w:r w:rsidRPr="003C46BE">
        <w:rPr>
          <w:rFonts w:ascii="Montserrat" w:eastAsia="Arial" w:hAnsi="Montserrat" w:cs="Arial"/>
          <w:sz w:val="24"/>
        </w:rPr>
        <w:tab/>
      </w:r>
      <w:r w:rsidRPr="003C46BE">
        <w:rPr>
          <w:rFonts w:ascii="Montserrat" w:hAnsi="Montserrat"/>
          <w:b/>
        </w:rPr>
        <w:t xml:space="preserve"> </w:t>
      </w:r>
    </w:p>
    <w:p w14:paraId="0E22E72E" w14:textId="53BCE3F5" w:rsidR="000F66F2" w:rsidRDefault="000F66F2"/>
    <w:p w14:paraId="10821987" w14:textId="6A1A1C9E" w:rsidR="009A437F" w:rsidRDefault="009A437F"/>
    <w:p w14:paraId="06C8CBAB" w14:textId="603A12AC" w:rsidR="009A437F" w:rsidRDefault="009A437F"/>
    <w:p w14:paraId="2EEB2920" w14:textId="0E9585E6" w:rsidR="009A437F" w:rsidRDefault="009A437F"/>
    <w:p w14:paraId="193E70CB" w14:textId="0B79E3FB" w:rsidR="009A437F" w:rsidRDefault="009A437F"/>
    <w:p w14:paraId="5E2BCB8E" w14:textId="512CE957" w:rsidR="009A437F" w:rsidRDefault="009A437F"/>
    <w:p w14:paraId="430097E1" w14:textId="08CF7473" w:rsidR="009A437F" w:rsidRDefault="009A437F"/>
    <w:p w14:paraId="19B30DDC" w14:textId="05277F9A" w:rsidR="009A437F" w:rsidRDefault="009A437F"/>
    <w:p w14:paraId="5756DFC8" w14:textId="3AD3D545" w:rsidR="009A437F" w:rsidRDefault="009A437F"/>
    <w:p w14:paraId="6BA99B32" w14:textId="64B3B2EA" w:rsidR="009A437F" w:rsidRDefault="009A437F"/>
    <w:p w14:paraId="5CE3AE9F" w14:textId="25AEEE05" w:rsidR="009A437F" w:rsidRDefault="009A437F"/>
    <w:p w14:paraId="42EDEAA4" w14:textId="3C4F7197" w:rsidR="009A437F" w:rsidRDefault="009A437F"/>
    <w:p w14:paraId="4EC589CB" w14:textId="0B4405B8" w:rsidR="009A437F" w:rsidRDefault="009A437F"/>
    <w:p w14:paraId="4B9C1692" w14:textId="3E1AB7C1" w:rsidR="009A437F" w:rsidRDefault="009A437F"/>
    <w:p w14:paraId="2208435A" w14:textId="320C9E2D" w:rsidR="009A437F" w:rsidRDefault="009A437F"/>
    <w:p w14:paraId="291CECF4" w14:textId="55BB26DA" w:rsidR="009A437F" w:rsidRDefault="009A437F"/>
    <w:p w14:paraId="23ACA5FA" w14:textId="77777777" w:rsidR="00823CBB" w:rsidRDefault="00823CBB"/>
    <w:p w14:paraId="05E87660" w14:textId="77777777" w:rsidR="00823CBB" w:rsidRDefault="00823CBB"/>
    <w:p w14:paraId="45005C11" w14:textId="77777777" w:rsidR="00823CBB" w:rsidRDefault="00823CBB"/>
    <w:p w14:paraId="4E3FD226" w14:textId="77777777" w:rsidR="00823CBB" w:rsidRDefault="00823CBB"/>
    <w:p w14:paraId="70A3AA57" w14:textId="77777777" w:rsidR="00823CBB" w:rsidRDefault="00823CBB"/>
    <w:p w14:paraId="69396118" w14:textId="77777777" w:rsidR="00823CBB" w:rsidRDefault="00823CBB"/>
    <w:p w14:paraId="3C4CE021" w14:textId="77777777" w:rsidR="00823CBB" w:rsidRDefault="00823CBB"/>
    <w:p w14:paraId="4C5C2E63" w14:textId="77777777" w:rsidR="00823CBB" w:rsidRDefault="00823CBB"/>
    <w:p w14:paraId="6775BFE2" w14:textId="77777777" w:rsidR="00823CBB" w:rsidRDefault="00823CBB"/>
    <w:p w14:paraId="151F9D59" w14:textId="77777777" w:rsidR="00823CBB" w:rsidRDefault="00823CBB"/>
    <w:p w14:paraId="42AA3671" w14:textId="16F76CA0" w:rsidR="009A437F" w:rsidRDefault="009A437F"/>
    <w:p w14:paraId="2D0EF092" w14:textId="312FDE97" w:rsidR="009A437F" w:rsidRDefault="009A437F"/>
    <w:p w14:paraId="147B209F" w14:textId="77777777" w:rsidR="009A437F" w:rsidRDefault="009A437F"/>
    <w:p w14:paraId="19CCB2E1" w14:textId="77777777" w:rsidR="00F6311D" w:rsidRDefault="00F6311D"/>
    <w:sectPr w:rsidR="00F6311D" w:rsidSect="00F6311D">
      <w:headerReference w:type="default" r:id="rId8"/>
      <w:footerReference w:type="default" r:id="rId9"/>
      <w:pgSz w:w="11906" w:h="16838"/>
      <w:pgMar w:top="1417" w:right="1134" w:bottom="1134" w:left="85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5C7B6" w14:textId="77777777" w:rsidR="00FC60B3" w:rsidRDefault="00FC60B3" w:rsidP="009A437F">
      <w:pPr>
        <w:spacing w:after="0" w:line="240" w:lineRule="auto"/>
      </w:pPr>
      <w:r>
        <w:separator/>
      </w:r>
    </w:p>
  </w:endnote>
  <w:endnote w:type="continuationSeparator" w:id="0">
    <w:p w14:paraId="179428CC" w14:textId="77777777" w:rsidR="00FC60B3" w:rsidRDefault="00FC60B3" w:rsidP="009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E147" w14:textId="59ABEA79" w:rsidR="00190224" w:rsidRDefault="00190224" w:rsidP="00823CBB">
    <w:pPr>
      <w:pStyle w:val="Pidipagina"/>
      <w:ind w:left="-426" w:hanging="28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F001F" wp14:editId="637EF923">
          <wp:simplePos x="0" y="0"/>
          <wp:positionH relativeFrom="column">
            <wp:posOffset>-274320</wp:posOffset>
          </wp:positionH>
          <wp:positionV relativeFrom="paragraph">
            <wp:posOffset>-706120</wp:posOffset>
          </wp:positionV>
          <wp:extent cx="5716270" cy="759460"/>
          <wp:effectExtent l="0" t="0" r="0" b="2540"/>
          <wp:wrapThrough wrapText="bothSides">
            <wp:wrapPolygon edited="0">
              <wp:start x="0" y="0"/>
              <wp:lineTo x="0" y="21311"/>
              <wp:lineTo x="21547" y="21311"/>
              <wp:lineTo x="21547" y="0"/>
              <wp:lineTo x="0" y="0"/>
            </wp:wrapPolygon>
          </wp:wrapThrough>
          <wp:docPr id="10910787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7871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69"/>
                  <a:stretch/>
                </pic:blipFill>
                <pic:spPr bwMode="auto">
                  <a:xfrm>
                    <a:off x="0" y="0"/>
                    <a:ext cx="571627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D004C" w14:textId="77777777" w:rsidR="00FC60B3" w:rsidRDefault="00FC60B3" w:rsidP="009A437F">
      <w:pPr>
        <w:spacing w:after="0" w:line="240" w:lineRule="auto"/>
      </w:pPr>
      <w:r>
        <w:separator/>
      </w:r>
    </w:p>
  </w:footnote>
  <w:footnote w:type="continuationSeparator" w:id="0">
    <w:p w14:paraId="15D3F749" w14:textId="77777777" w:rsidR="00FC60B3" w:rsidRDefault="00FC60B3" w:rsidP="009A437F">
      <w:pPr>
        <w:spacing w:after="0" w:line="240" w:lineRule="auto"/>
      </w:pPr>
      <w:r>
        <w:continuationSeparator/>
      </w:r>
    </w:p>
  </w:footnote>
  <w:footnote w:id="1">
    <w:p w14:paraId="4F42F127" w14:textId="77777777" w:rsidR="00C23C9F" w:rsidRPr="003C46BE" w:rsidRDefault="00C23C9F" w:rsidP="00C23C9F">
      <w:pPr>
        <w:pStyle w:val="footnotedescription"/>
        <w:rPr>
          <w:rFonts w:ascii="Montserrat" w:hAnsi="Montserrat"/>
        </w:rPr>
      </w:pPr>
      <w:r w:rsidRPr="003C46BE">
        <w:rPr>
          <w:rStyle w:val="footnotemark"/>
          <w:rFonts w:ascii="Montserrat" w:eastAsia="Corbel" w:hAnsi="Montserrat"/>
        </w:rPr>
        <w:footnoteRef/>
      </w:r>
      <w:r w:rsidRPr="003C46BE">
        <w:rPr>
          <w:rFonts w:ascii="Montserrat" w:hAnsi="Montserrat"/>
        </w:rPr>
        <w:t xml:space="preserve"> Le istituzioni superiori di controllo che applicano le norme INTOSAI possono eseguire le procedure conformemente alle corrispondenti norme internazionali di Istituzioni superiori di controllo e codice etico emanato dall'INTOSAI in sostituzione dello standard internazionale sui servizi correlati («ISRS») 4400 e del codice etico per i revisori dei conti emessi dallo IAASB e dall'IESBA.</w:t>
      </w:r>
    </w:p>
    <w:p w14:paraId="562A521D" w14:textId="77777777" w:rsidR="00C23C9F" w:rsidRDefault="00C23C9F" w:rsidP="00C23C9F">
      <w:pPr>
        <w:pStyle w:val="footnotedescription"/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127B" w14:textId="07ACC168" w:rsidR="009A437F" w:rsidRDefault="009A437F" w:rsidP="009A437F">
    <w:pPr>
      <w:pStyle w:val="Intestazione"/>
      <w:tabs>
        <w:tab w:val="clear" w:pos="9638"/>
        <w:tab w:val="right" w:pos="9356"/>
      </w:tabs>
      <w:ind w:left="-851" w:right="-85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EFDE2" wp14:editId="200B785C">
          <wp:simplePos x="0" y="0"/>
          <wp:positionH relativeFrom="margin">
            <wp:posOffset>-327660</wp:posOffset>
          </wp:positionH>
          <wp:positionV relativeFrom="paragraph">
            <wp:posOffset>-166370</wp:posOffset>
          </wp:positionV>
          <wp:extent cx="7214235" cy="672465"/>
          <wp:effectExtent l="0" t="0" r="0" b="635"/>
          <wp:wrapTight wrapText="bothSides">
            <wp:wrapPolygon edited="0">
              <wp:start x="0" y="0"/>
              <wp:lineTo x="0" y="21212"/>
              <wp:lineTo x="21560" y="21212"/>
              <wp:lineTo x="2156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12" b="5212"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3EE8"/>
    <w:multiLevelType w:val="hybridMultilevel"/>
    <w:tmpl w:val="1A246118"/>
    <w:lvl w:ilvl="0" w:tplc="A5400AD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2C1037E"/>
    <w:multiLevelType w:val="hybridMultilevel"/>
    <w:tmpl w:val="3928139C"/>
    <w:lvl w:ilvl="0" w:tplc="8E1E78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E95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646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800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A972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612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04B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98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2C7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553093"/>
    <w:multiLevelType w:val="hybridMultilevel"/>
    <w:tmpl w:val="626EAFBC"/>
    <w:lvl w:ilvl="0" w:tplc="748ED1F2">
      <w:start w:val="1"/>
      <w:numFmt w:val="bullet"/>
      <w:lvlText w:val="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A9B32">
      <w:start w:val="1"/>
      <w:numFmt w:val="bullet"/>
      <w:lvlText w:val="o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0A014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69C18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F1C4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827D4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AA4B8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873CE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83BEE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400773"/>
    <w:multiLevelType w:val="hybridMultilevel"/>
    <w:tmpl w:val="DA42D1D8"/>
    <w:lvl w:ilvl="0" w:tplc="C8783B9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099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605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E21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61E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1F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C4F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262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81D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779330">
    <w:abstractNumId w:val="3"/>
  </w:num>
  <w:num w:numId="2" w16cid:durableId="687217880">
    <w:abstractNumId w:val="2"/>
  </w:num>
  <w:num w:numId="3" w16cid:durableId="346568350">
    <w:abstractNumId w:val="1"/>
  </w:num>
  <w:num w:numId="4" w16cid:durableId="127948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F"/>
    <w:rsid w:val="000A0C78"/>
    <w:rsid w:val="000F66F2"/>
    <w:rsid w:val="00190224"/>
    <w:rsid w:val="00214136"/>
    <w:rsid w:val="0029080A"/>
    <w:rsid w:val="002E1CC5"/>
    <w:rsid w:val="00381646"/>
    <w:rsid w:val="003D5362"/>
    <w:rsid w:val="00512012"/>
    <w:rsid w:val="005450A0"/>
    <w:rsid w:val="005E0066"/>
    <w:rsid w:val="00652463"/>
    <w:rsid w:val="00672376"/>
    <w:rsid w:val="00712B77"/>
    <w:rsid w:val="00762567"/>
    <w:rsid w:val="00763E19"/>
    <w:rsid w:val="007F765D"/>
    <w:rsid w:val="00823CBB"/>
    <w:rsid w:val="00873962"/>
    <w:rsid w:val="008D3A1C"/>
    <w:rsid w:val="008F706B"/>
    <w:rsid w:val="009A437F"/>
    <w:rsid w:val="009F114C"/>
    <w:rsid w:val="00AD65EE"/>
    <w:rsid w:val="00B36702"/>
    <w:rsid w:val="00B56D70"/>
    <w:rsid w:val="00C23C9F"/>
    <w:rsid w:val="00CB1219"/>
    <w:rsid w:val="00CE5E96"/>
    <w:rsid w:val="00D43A20"/>
    <w:rsid w:val="00DA55EF"/>
    <w:rsid w:val="00DB3738"/>
    <w:rsid w:val="00DE4A87"/>
    <w:rsid w:val="00DF2ABB"/>
    <w:rsid w:val="00E5043F"/>
    <w:rsid w:val="00EC6C79"/>
    <w:rsid w:val="00F6311D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EE1E0"/>
  <w15:chartTrackingRefBased/>
  <w15:docId w15:val="{FCF4DB29-E2A6-4B7D-90FD-62540E7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C23C9F"/>
    <w:pPr>
      <w:keepNext/>
      <w:keepLines/>
      <w:spacing w:after="101"/>
      <w:ind w:left="10" w:hanging="10"/>
      <w:outlineLvl w:val="1"/>
    </w:pPr>
    <w:rPr>
      <w:rFonts w:ascii="Corbel" w:eastAsia="Corbel" w:hAnsi="Corbel" w:cs="Corbel"/>
      <w:b/>
      <w:color w:val="4471C4"/>
      <w:kern w:val="2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37F"/>
  </w:style>
  <w:style w:type="paragraph" w:styleId="Pidipagina">
    <w:name w:val="footer"/>
    <w:basedOn w:val="Normale"/>
    <w:link w:val="Pidipagina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37F"/>
  </w:style>
  <w:style w:type="paragraph" w:styleId="Nessunaspaziatura">
    <w:name w:val="No Spacing"/>
    <w:uiPriority w:val="1"/>
    <w:qFormat/>
    <w:rsid w:val="0019022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3C9F"/>
    <w:rPr>
      <w:rFonts w:ascii="Corbel" w:eastAsia="Corbel" w:hAnsi="Corbel" w:cs="Corbel"/>
      <w:b/>
      <w:color w:val="4471C4"/>
      <w:kern w:val="2"/>
      <w:szCs w:val="24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C23C9F"/>
    <w:pPr>
      <w:spacing w:after="0" w:line="277" w:lineRule="auto"/>
      <w:ind w:left="283" w:hanging="283"/>
      <w:jc w:val="both"/>
    </w:pPr>
    <w:rPr>
      <w:rFonts w:ascii="Corbel" w:eastAsia="Corbel" w:hAnsi="Corbel" w:cs="Corbel"/>
      <w:color w:val="000000"/>
      <w:kern w:val="2"/>
      <w:sz w:val="20"/>
      <w:szCs w:val="24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C23C9F"/>
    <w:rPr>
      <w:rFonts w:ascii="Corbel" w:eastAsia="Corbel" w:hAnsi="Corbel" w:cs="Corbel"/>
      <w:color w:val="000000"/>
      <w:kern w:val="2"/>
      <w:sz w:val="20"/>
      <w:szCs w:val="24"/>
      <w:lang w:eastAsia="it-IT"/>
      <w14:ligatures w14:val="standardContextual"/>
    </w:rPr>
  </w:style>
  <w:style w:type="character" w:customStyle="1" w:styleId="footnotemark">
    <w:name w:val="footnote mark"/>
    <w:hidden/>
    <w:rsid w:val="00C23C9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C23C9F"/>
    <w:pPr>
      <w:spacing w:after="3" w:line="248" w:lineRule="auto"/>
      <w:ind w:left="720" w:hanging="10"/>
      <w:contextualSpacing/>
      <w:jc w:val="both"/>
    </w:pPr>
    <w:rPr>
      <w:rFonts w:ascii="Corbel" w:eastAsia="Corbel" w:hAnsi="Corbel" w:cs="Corbel"/>
      <w:color w:val="000000"/>
      <w:kern w:val="2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219F-B68B-49F7-B074-3D0681F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Siano, Paola</dc:creator>
  <cp:keywords/>
  <dc:description/>
  <cp:lastModifiedBy>Mara Bon</cp:lastModifiedBy>
  <cp:revision>2</cp:revision>
  <dcterms:created xsi:type="dcterms:W3CDTF">2024-10-30T08:14:00Z</dcterms:created>
  <dcterms:modified xsi:type="dcterms:W3CDTF">2024-10-30T08:14:00Z</dcterms:modified>
</cp:coreProperties>
</file>